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u w:val="single"/>
        </w:rPr>
        <w:t>CURSO AVANÇADO 202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u w:val="single"/>
          <w:lang w:val="pt-BR" w:eastAsia="en-US" w:bidi="ar-SA"/>
        </w:rPr>
        <w:t>2</w:t>
      </w:r>
      <w:r>
        <w:rPr>
          <w:b/>
          <w:u w:val="single"/>
        </w:rPr>
        <w:t xml:space="preserve"> – EMENTAS DOS MÓDULOS</w:t>
      </w:r>
    </w:p>
    <w:p>
      <w:pPr>
        <w:pStyle w:val="Normal"/>
        <w:jc w:val="both"/>
        <w:rPr>
          <w:rFonts w:ascii="Calibri" w:hAnsi="Calibri" w:eastAsia="Calibri" w:cs="Times New Roman"/>
          <w:iCs/>
        </w:rPr>
      </w:pPr>
      <w:r>
        <w:rPr>
          <w:rFonts w:eastAsia="Calibri" w:cs="Times New Roman"/>
          <w:iCs/>
        </w:rPr>
        <w:t>Cogeração</w:t>
      </w:r>
    </w:p>
    <w:p>
      <w:pPr>
        <w:pStyle w:val="Normal"/>
        <w:jc w:val="both"/>
        <w:rPr>
          <w:rFonts w:ascii="Calibri" w:hAnsi="Calibri" w:eastAsia="Calibri" w:cs="Times New Roman"/>
          <w:iCs/>
        </w:rPr>
      </w:pPr>
      <w:r>
        <w:rPr>
          <w:rFonts w:eastAsia="Calibri" w:cs="Times New Roman"/>
          <w:iCs/>
        </w:rPr>
        <w:t>Conceitos básicos de cogeração. Componentes e funcionamento de um sistema de geração de energia com turbinas a gás. Componentes e funcionamento de um sistema de geração de energia com turbinas a vapor d’água. Sistema de refrigeração por absorção de vapor: componentes e funcionamento. Cogeração em regime topping e cogeração em regime bottoming. Cálculo da vazão de combustível de motor de ignição por compressão usado em cogeração. Descrição de instalações que usam cogeração.</w:t>
      </w:r>
    </w:p>
    <w:p>
      <w:pPr>
        <w:pStyle w:val="Normal"/>
        <w:jc w:val="both"/>
        <w:rPr>
          <w:rFonts w:ascii="Calibri" w:hAnsi="Calibri" w:eastAsia="Calibri" w:cs="Times New Roman"/>
          <w:iCs/>
        </w:rPr>
      </w:pPr>
      <w:r>
        <w:rPr>
          <w:rFonts w:eastAsia="Calibri" w:cs="Times New Roman"/>
          <w:iCs/>
        </w:rPr>
      </w:r>
    </w:p>
    <w:p>
      <w:pPr>
        <w:pStyle w:val="Normal"/>
        <w:jc w:val="both"/>
        <w:rPr>
          <w:rFonts w:ascii="Calibri" w:hAnsi="Calibri" w:eastAsia="Calibri" w:cs="Times New Roman"/>
          <w:iCs/>
        </w:rPr>
      </w:pPr>
      <w:r>
        <w:rPr>
          <w:rFonts w:eastAsia="Calibri" w:cs="Times New Roman"/>
          <w:iCs/>
        </w:rPr>
        <w:t>Eficiência Energética</w:t>
      </w:r>
    </w:p>
    <w:p>
      <w:pPr>
        <w:pStyle w:val="Normal"/>
        <w:jc w:val="both"/>
        <w:rPr>
          <w:rFonts w:ascii="Calibri" w:hAnsi="Calibri" w:eastAsia="Calibri" w:cs="Times New Roman"/>
          <w:iCs/>
        </w:rPr>
      </w:pPr>
      <w:r>
        <w:rPr>
          <w:rFonts w:eastAsia="Calibri" w:cs="Times New Roman"/>
          <w:iCs/>
        </w:rPr>
        <w:t>Parte I: Introdução. Conceitos Básicos. Normas e Regulamentações. Boas Práticas em equipamentos, tratamento de ar exterior, distribuição de água, distribuição de ar e exaustão de laboratório químico. Parte II: Etiquetagem Procel Edifica – Edificações. Módulo do sistema de HVAC.</w:t>
      </w:r>
    </w:p>
    <w:p>
      <w:pPr>
        <w:pStyle w:val="Normal"/>
        <w:jc w:val="both"/>
        <w:rPr>
          <w:rFonts w:ascii="Calibri" w:hAnsi="Calibri" w:eastAsia="Calibri" w:cs="Times New Roman"/>
          <w:iCs/>
        </w:rPr>
      </w:pPr>
      <w:r>
        <w:rPr>
          <w:rFonts w:eastAsia="Calibri" w:cs="Times New Roman"/>
          <w:i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222222"/>
          <w:sz w:val="20"/>
          <w:szCs w:val="20"/>
          <w:lang w:eastAsia="pt-BR"/>
        </w:rPr>
      </w:pPr>
      <w:r>
        <w:rPr>
          <w:rFonts w:eastAsia="Times New Roman" w:cs="Times New Roman" w:ascii="Verdana" w:hAnsi="Verdana"/>
          <w:color w:val="222222"/>
          <w:sz w:val="20"/>
          <w:szCs w:val="20"/>
          <w:lang w:eastAsia="pt-BR"/>
        </w:rPr>
        <w:t>Termoacumulação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222222"/>
          <w:sz w:val="20"/>
          <w:szCs w:val="20"/>
          <w:lang w:eastAsia="pt-BR"/>
        </w:rPr>
      </w:pPr>
      <w:r>
        <w:rPr>
          <w:rFonts w:eastAsia="Times New Roman" w:cs="Times New Roman" w:ascii="Verdana" w:hAnsi="Verdana"/>
          <w:color w:val="222222"/>
          <w:sz w:val="20"/>
          <w:szCs w:val="20"/>
          <w:lang w:eastAsia="pt-BR"/>
        </w:rPr>
        <w:t> </w:t>
      </w:r>
    </w:p>
    <w:p>
      <w:pPr>
        <w:pStyle w:val="Normal"/>
        <w:shd w:val="clear" w:color="auto" w:fill="FFFFFF"/>
        <w:spacing w:lineRule="auto" w:line="240"/>
        <w:rPr>
          <w:rFonts w:ascii="Verdana" w:hAnsi="Verdana" w:eastAsia="Times New Roman" w:cs="Times New Roman"/>
          <w:color w:val="222222"/>
          <w:sz w:val="20"/>
          <w:szCs w:val="20"/>
          <w:lang w:eastAsia="pt-BR"/>
        </w:rPr>
      </w:pPr>
      <w:r>
        <w:rPr>
          <w:rFonts w:eastAsia="Times New Roman" w:cs="Times New Roman" w:ascii="Verdana" w:hAnsi="Verdana"/>
          <w:color w:val="222222"/>
          <w:sz w:val="20"/>
          <w:szCs w:val="20"/>
          <w:lang w:eastAsia="pt-BR"/>
        </w:rPr>
        <w:t>Tipos de tanques, princípios de funcionamento e aplicação em sistemas de água gelada. Exercícios on-line de dimensionamento de tanques para as condições de pick shaving, shift load e ambas as condições simultaneamente.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Ventilação Industrial</w:t>
      </w:r>
    </w:p>
    <w:p>
      <w:pPr>
        <w:pStyle w:val="Normal"/>
        <w:jc w:val="both"/>
        <w:rPr/>
      </w:pPr>
      <w:r>
        <w:rPr/>
        <w:t>Conceitos de ventilação local exaustora. Dimensionamento de sistema de ventilação local exaustora. Velocidades recomendadas para captura e para transporte dos poluentes. Ventilação exaustora nas cabines de pintura, em processos de abertura de sacos, e em tornos mecânicos. Ventilação local exaustora dos fumos de soldagem. Ventilação local exaustora nas cozinhas comerciais. Ventilação diluidora.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Conceitos Básicos de Manutenção</w:t>
      </w:r>
    </w:p>
    <w:p>
      <w:pPr>
        <w:pStyle w:val="Normal"/>
        <w:spacing w:before="0" w:after="20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Visão clássica e evolução da manutenção. A manutenção como ela é hoje no dia a dia.Tipos de manutenção. Conceitos de engenharia de manutenção. Visão da manutenção sob o ponto de vista da disponibilidade. A inserção da manutenção na gestão estratégica de ativos – uma tendência. Técnicas preditivas de manutenção em HVAC. Programas e normas de manutenção em HVAC. Boas práticas de acordo com o PBH – Programa Brasileiro de Eliminação dos HCFC´s – Ministério do Meio Ambiente – Protocolo de Montreal. Manutenção aplicada em sistemas e equipamentos de ar condicionado e refrigeração – conceitos gerais e estudos de caso. Marcos regulatórios em manutenção – Lei 13.589/18 – “LEI DO PMOC”. </w:t>
      </w:r>
    </w:p>
    <w:sectPr>
      <w:type w:val="nextPage"/>
      <w:pgSz w:w="11906" w:h="16838"/>
      <w:pgMar w:left="1701" w:right="1701" w:header="0" w:top="113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5965"/>
        </w:tabs>
        <w:ind w:left="596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d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autoRedefine/>
    <w:qFormat/>
    <w:rsid w:val="00654af8"/>
    <w:pPr>
      <w:keepNext w:val="true"/>
      <w:numPr>
        <w:ilvl w:val="2"/>
        <w:numId w:val="1"/>
      </w:numPr>
      <w:pBdr>
        <w:bottom w:val="single" w:sz="4" w:space="1" w:color="000000"/>
      </w:pBdr>
      <w:spacing w:lineRule="auto" w:line="240" w:before="60" w:after="60"/>
      <w:outlineLvl w:val="2"/>
    </w:pPr>
    <w:rPr>
      <w:rFonts w:ascii="Arial" w:hAnsi="Arial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link w:val="Ttulo3"/>
    <w:qFormat/>
    <w:rsid w:val="00654af8"/>
    <w:rPr>
      <w:rFonts w:ascii="Arial" w:hAnsi="Arial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bc5273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d288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Garamond" w:hAnsi="Garamond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Garamond" w:hAnsi="Garamond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Garamond" w:hAnsi="Garamond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Garamond" w:hAnsi="Garamond" w:cs="Arial"/>
    </w:rPr>
  </w:style>
  <w:style w:type="paragraph" w:styleId="NormalWeb">
    <w:name w:val="Normal (Web)"/>
    <w:basedOn w:val="Normal"/>
    <w:uiPriority w:val="99"/>
    <w:semiHidden/>
    <w:unhideWhenUsed/>
    <w:qFormat/>
    <w:rsid w:val="00bc52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d28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LibreOffice/6.4.7.2$Windows_X86_64 LibreOffice_project/639b8ac485750d5696d7590a72ef1b496725cfb5</Application>
  <Pages>1</Pages>
  <Words>313</Words>
  <Characters>1880</Characters>
  <CharactersWithSpaces>2193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2021-10-01T20:01:00Z</dcterms:created>
  <dc:creator>DELL</dc:creator>
  <dc:description/>
  <dc:language>pt-BR</dc:language>
  <cp:lastModifiedBy/>
  <dcterms:modified xsi:type="dcterms:W3CDTF">2022-04-06T18:43:18Z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